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r>
        <w:rPr>
          <w:rFonts w:hint="eastAsia" w:ascii="宋体" w:hAnsi="宋体" w:eastAsia="宋体" w:cs="Arial"/>
          <w:bCs/>
          <w:sz w:val="44"/>
          <w:szCs w:val="44"/>
        </w:rPr>
        <w:t>私募投资基金监督管理条例</w:t>
      </w:r>
    </w:p>
    <w:p>
      <w:pPr>
        <w:spacing w:line="240" w:lineRule="auto"/>
        <w:ind w:firstLine="0"/>
        <w:jc w:val="both"/>
        <w:rPr>
          <w:rFonts w:hint="eastAsia" w:ascii="宋体" w:hAnsi="宋体" w:eastAsia="宋体" w:cs="宋体"/>
        </w:rPr>
      </w:pPr>
    </w:p>
    <w:p>
      <w:pPr>
        <w:spacing w:line="240" w:lineRule="auto"/>
        <w:ind w:firstLine="0"/>
        <w:jc w:val="center"/>
      </w:pPr>
      <w:r>
        <w:rPr>
          <w:rFonts w:ascii="黑体" w:hAnsi="黑体" w:eastAsia="黑体" w:cs="黑体"/>
          <w:sz w:val="32"/>
        </w:rPr>
        <w:t>第一章　总　　则</w:t>
      </w:r>
    </w:p>
    <w:p>
      <w:pPr>
        <w:spacing w:line="240" w:lineRule="auto"/>
        <w:ind w:firstLine="0"/>
        <w:jc w:val="center"/>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第一条</w:t>
      </w:r>
      <w:r>
        <w:rPr>
          <w:rFonts w:ascii="仿宋_GB2312" w:hAnsi="仿宋_GB2312" w:eastAsia="仿宋_GB2312" w:cs="仿宋_GB2312"/>
          <w:sz w:val="32"/>
        </w:rPr>
        <w:t>　</w:t>
      </w:r>
      <w:r>
        <w:rPr>
          <w:rFonts w:hint="eastAsia" w:ascii="仿宋_GB2312" w:hAnsi="仿宋_GB2312" w:eastAsia="仿宋_GB2312" w:cs="仿宋_GB2312"/>
          <w:sz w:val="32"/>
        </w:rPr>
        <w:t>为了规范私募投资基金（以下简称私募基金）业务活动，保护投资者以及相关当事人的合法权益，促进私募基金行业规范健康发展，根据《中华人民共和国证券投资基金法》（以下简称《证券投资基金法》）、《中华人民共和国信托法》、《中华人民共和国公司法》、《中华人民共和国合伙企业法》等法律，制定本条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第二条</w:t>
      </w:r>
      <w:r>
        <w:rPr>
          <w:rFonts w:ascii="仿宋_GB2312" w:hAnsi="仿宋_GB2312" w:eastAsia="仿宋_GB2312" w:cs="仿宋_GB2312"/>
          <w:sz w:val="32"/>
        </w:rPr>
        <w:t>　</w:t>
      </w:r>
      <w:r>
        <w:rPr>
          <w:rFonts w:hint="eastAsia" w:ascii="仿宋_GB2312" w:hAnsi="仿宋_GB2312" w:eastAsia="仿宋_GB2312" w:cs="仿宋_GB2312"/>
          <w:sz w:val="32"/>
        </w:rPr>
        <w:t>在中华人民共和国境内，以非公开方式募集资金，设立投资基金或者以进行投资活动为目的依法设立公司、合伙企业，由私募基金管理人或者普通合伙人管理，为投资者的利益进行投资活动，适用本条例。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第三条</w:t>
      </w:r>
      <w:r>
        <w:rPr>
          <w:rFonts w:ascii="仿宋_GB2312" w:hAnsi="仿宋_GB2312" w:eastAsia="仿宋_GB2312" w:cs="仿宋_GB2312"/>
          <w:sz w:val="32"/>
        </w:rPr>
        <w:t>　</w:t>
      </w:r>
      <w:r>
        <w:rPr>
          <w:rFonts w:hint="eastAsia" w:ascii="仿宋_GB2312" w:hAnsi="仿宋_GB2312" w:eastAsia="仿宋_GB2312" w:cs="仿宋_GB2312"/>
          <w:sz w:val="32"/>
        </w:rPr>
        <w:t>国家鼓励私募基金行业规范健康发展，发挥服务实体经济、促进科技创新等功能作用。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从事私募基金业务活动，应当遵循自愿、公平、诚信原则，保护投资者合法权益，不得违反法律、行政法规和国家政策，不得违背公序良俗，不得损害国家利益、社会公共利益和他人合法权益。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私募基金管理人管理、运用私募基金财产，私募基金托管人托管私募基金财产，私募基金服务机构从事私募基金服务业务，应当遵守法律、行政法规规定，恪尽职守，履行诚实守信、谨慎勤勉的义务。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私募基金从业人员应当遵守法律、行政法规规定，恪守职业道德和行为规范，按照规定接受合规和专业能力培训。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第四条</w:t>
      </w:r>
      <w:r>
        <w:rPr>
          <w:rFonts w:ascii="仿宋_GB2312" w:hAnsi="仿宋_GB2312" w:eastAsia="仿宋_GB2312" w:cs="仿宋_GB2312"/>
          <w:sz w:val="32"/>
        </w:rPr>
        <w:t>　</w:t>
      </w:r>
      <w:r>
        <w:rPr>
          <w:rFonts w:hint="eastAsia" w:ascii="仿宋_GB2312" w:hAnsi="仿宋_GB2312" w:eastAsia="仿宋_GB2312" w:cs="仿宋_GB2312"/>
          <w:sz w:val="32"/>
        </w:rPr>
        <w:t>私募基金财产独立于私募基金管理人、私募基金托管人的固有财产。私募基金财产的债务由私募基金财产本身承担，但法律另有规定的除外。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投资者按照基金合同、公司章程、合伙协议（以下统称基金合同）约定分配收益和承担风险。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第五条</w:t>
      </w:r>
      <w:r>
        <w:rPr>
          <w:rFonts w:ascii="仿宋_GB2312" w:hAnsi="仿宋_GB2312" w:eastAsia="仿宋_GB2312" w:cs="仿宋_GB2312"/>
          <w:sz w:val="32"/>
        </w:rPr>
        <w:t>　</w:t>
      </w:r>
      <w:r>
        <w:rPr>
          <w:rFonts w:hint="eastAsia" w:ascii="仿宋_GB2312" w:hAnsi="仿宋_GB2312" w:eastAsia="仿宋_GB2312" w:cs="仿宋_GB2312"/>
          <w:sz w:val="32"/>
        </w:rPr>
        <w:t>私募基金业务活动的监督管理，应当贯彻党和国家路线方针政策、决策部署。国务院证券监督管理机构依照法律和本条例规定对私募基金业务活动实施监督管理，其派出机构依照授权履行职责。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国家对运用一定比例政府资金发起设立或者参股的私募基金的监督管理另有规定的，从其规定。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第六条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根据私募基金管理人业务类型、管理资产规模、持续合规情况、风险控制情况和服务投资者能力等，对私募基金管理人实施差异化监督管理，并对创业投资等股权投资、证券投资等不同类型的私募基金实施分类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pPr>
      <w:r>
        <w:rPr>
          <w:rFonts w:ascii="黑体" w:hAnsi="黑体" w:eastAsia="黑体" w:cs="黑体"/>
          <w:sz w:val="32"/>
        </w:rPr>
        <w:t>第二章　</w:t>
      </w:r>
      <w:r>
        <w:rPr>
          <w:rFonts w:hint="eastAsia" w:ascii="黑体" w:hAnsi="黑体" w:eastAsia="黑体" w:cs="黑体"/>
          <w:sz w:val="32"/>
        </w:rPr>
        <w:t>私募基金管理人和私募基金托管人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第七条</w:t>
      </w:r>
      <w:r>
        <w:rPr>
          <w:rFonts w:ascii="仿宋_GB2312" w:hAnsi="仿宋_GB2312" w:eastAsia="仿宋_GB2312" w:cs="仿宋_GB2312"/>
          <w:sz w:val="32"/>
        </w:rPr>
        <w:t>　</w:t>
      </w:r>
      <w:r>
        <w:rPr>
          <w:rFonts w:hint="eastAsia" w:ascii="仿宋_GB2312" w:hAnsi="仿宋_GB2312" w:eastAsia="仿宋_GB2312" w:cs="仿宋_GB2312"/>
          <w:sz w:val="32"/>
        </w:rPr>
        <w:t>私募基金管理人由依法设立的公司或者合伙企业担任。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以合伙企业形式设立的私募基金，资产由普通合伙人管理的，普通合伙人适用本条例关于私募基金管理人的规定。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ascii="仿宋_GB2312" w:hAnsi="仿宋_GB2312" w:eastAsia="仿宋_GB2312" w:cs="仿宋_GB2312"/>
          <w:sz w:val="32"/>
        </w:rPr>
      </w:pPr>
      <w:r>
        <w:rPr>
          <w:rFonts w:hint="eastAsia" w:ascii="仿宋_GB2312" w:hAnsi="仿宋_GB2312" w:eastAsia="仿宋_GB2312" w:cs="仿宋_GB2312"/>
          <w:sz w:val="32"/>
        </w:rPr>
        <w:t>私募基金管理人的股东、合伙人以及股东、合伙人的控股股东、实际控制人，控股或者实际控制其他私募基金管理人的，应当符合国务院证券监督管理机构的规定。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仿宋_GB2312" w:cs="Times New Roman"/>
          <w:sz w:val="32"/>
        </w:rPr>
      </w:pPr>
      <w:r>
        <w:rPr>
          <w:rFonts w:ascii="黑体" w:hAnsi="黑体" w:eastAsia="黑体" w:cs="黑体"/>
          <w:sz w:val="32"/>
        </w:rPr>
        <w:t>第八条</w:t>
      </w:r>
      <w:r>
        <w:rPr>
          <w:rFonts w:ascii="仿宋_GB2312" w:hAnsi="仿宋_GB2312" w:eastAsia="仿宋_GB2312" w:cs="仿宋_GB2312"/>
          <w:sz w:val="32"/>
        </w:rPr>
        <w:t>　</w:t>
      </w:r>
      <w:r>
        <w:rPr>
          <w:rFonts w:hint="eastAsia" w:ascii="仿宋_GB2312" w:hAnsi="仿宋_GB2312" w:eastAsia="仿宋_GB2312" w:cs="仿宋_GB2312"/>
          <w:sz w:val="32"/>
        </w:rPr>
        <w:t>有下列情形之一的，不得担任私募基金管理人，不得成为私募基金管理</w:t>
      </w:r>
      <w:r>
        <w:rPr>
          <w:rFonts w:hint="default" w:ascii="Times New Roman" w:hAnsi="Times New Roman" w:eastAsia="仿宋_GB2312" w:cs="Times New Roman"/>
          <w:sz w:val="32"/>
        </w:rPr>
        <w:t>人的控股股东、实际控制人或者普通合伙人：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（一）本条例第九条规定的情形；</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default" w:ascii="Times New Roman" w:hAnsi="Times New Roman" w:eastAsia="仿宋_GB2312" w:cs="Times New Roman"/>
          <w:sz w:val="32"/>
        </w:rPr>
        <w:t>（二）因本条例第十四条第一款第三项所列情形被注销登记，自被注销登记之日起未逾3年的私募基金管理人，或者为该私募基金管理人的控股股东、实际控制人、</w:t>
      </w:r>
      <w:r>
        <w:rPr>
          <w:rFonts w:hint="eastAsia" w:ascii="仿宋_GB2312" w:hAnsi="仿宋_GB2312" w:eastAsia="仿宋_GB2312" w:cs="仿宋_GB2312"/>
          <w:sz w:val="32"/>
        </w:rPr>
        <w:t>普通合伙人；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（三）从事的业务与私募基金管理存在利益冲突；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（四）有严重不良信用记录尚未修复。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第九条</w:t>
      </w:r>
      <w:r>
        <w:rPr>
          <w:rFonts w:ascii="仿宋_GB2312" w:hAnsi="仿宋_GB2312" w:eastAsia="仿宋_GB2312" w:cs="仿宋_GB2312"/>
          <w:sz w:val="32"/>
        </w:rPr>
        <w:t>　</w:t>
      </w:r>
      <w:r>
        <w:rPr>
          <w:rFonts w:hint="eastAsia" w:ascii="仿宋_GB2312" w:hAnsi="仿宋_GB2312" w:eastAsia="仿宋_GB2312" w:cs="仿宋_GB2312"/>
          <w:sz w:val="32"/>
        </w:rPr>
        <w:t>有下列情形之一的，不得担任私募基金管理人的董事、监事、高级管理人员、执行事务合伙人或者委派代表：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（一）因犯有贪污贿赂、渎职、侵犯财产罪或者破坏社会主义市场经济秩序罪，被判处刑罚；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（二）最</w:t>
      </w:r>
      <w:r>
        <w:rPr>
          <w:rFonts w:hint="default" w:ascii="Times New Roman" w:hAnsi="Times New Roman" w:eastAsia="仿宋_GB2312" w:cs="Times New Roman"/>
          <w:sz w:val="32"/>
        </w:rPr>
        <w:t>近3</w:t>
      </w:r>
      <w:r>
        <w:rPr>
          <w:rFonts w:hint="eastAsia" w:ascii="仿宋_GB2312" w:hAnsi="仿宋_GB2312" w:eastAsia="仿宋_GB2312" w:cs="仿宋_GB2312"/>
          <w:sz w:val="32"/>
        </w:rPr>
        <w:t>年因重大违法违规行为被金融管理部门处以行政处罚；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对所任职的公司、企业因经营不善破产清算或者因违法被吊销营业执照负有个人责任的董事、监事、厂长、高级管理人员、执行事务合伙人或者委派代表，自该公司、企业破产清算终结或者被吊销营业执照之日起</w:t>
      </w:r>
      <w:r>
        <w:rPr>
          <w:rFonts w:hint="default" w:ascii="Times New Roman" w:hAnsi="Times New Roman" w:eastAsia="仿宋_GB2312" w:cs="Times New Roman"/>
          <w:sz w:val="32"/>
        </w:rPr>
        <w:t>未逾5</w:t>
      </w:r>
      <w:r>
        <w:rPr>
          <w:rFonts w:hint="eastAsia" w:ascii="仿宋_GB2312" w:hAnsi="仿宋_GB2312" w:eastAsia="仿宋_GB2312" w:cs="仿宋_GB2312"/>
          <w:sz w:val="32"/>
        </w:rPr>
        <w:t>年；</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（四）所负债务数额较大，到期未清偿或者被纳入失信被执行人名单；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（五）因违法行为被开除的基金管理人、基金托管人、证券期货交易场所、证券公司、证券登记结算机构、期货公司以及其他机构的从业人员和国家机关工作人员；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（六）因违法行为被吊销执业证书或者被取消资格的律师、注册会计师和资产评估机构、验证机构的从业人员、投资咨询从业人员，自被吊销执业证书或者被取消资格</w:t>
      </w:r>
      <w:r>
        <w:rPr>
          <w:rFonts w:hint="default" w:ascii="Times New Roman" w:hAnsi="Times New Roman" w:eastAsia="仿宋_GB2312" w:cs="Times New Roman"/>
          <w:sz w:val="32"/>
        </w:rPr>
        <w:t>之日起未逾5</w:t>
      </w:r>
      <w:r>
        <w:rPr>
          <w:rFonts w:hint="eastAsia" w:ascii="仿宋_GB2312" w:hAnsi="仿宋_GB2312" w:eastAsia="仿宋_GB2312" w:cs="仿宋_GB2312"/>
          <w:sz w:val="32"/>
        </w:rPr>
        <w:t>年；</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ascii="仿宋_GB2312" w:hAnsi="仿宋_GB2312" w:eastAsia="仿宋_GB2312" w:cs="仿宋_GB2312"/>
          <w:sz w:val="32"/>
        </w:rPr>
      </w:pPr>
      <w:r>
        <w:rPr>
          <w:rFonts w:hint="eastAsia" w:ascii="仿宋_GB2312" w:hAnsi="仿宋_GB2312" w:eastAsia="仿宋_GB2312" w:cs="仿宋_GB2312"/>
          <w:sz w:val="32"/>
        </w:rPr>
        <w:t>（七）担任因本条例第十四条第一款第三项所列情形被注销登记的私募基金管理人的法定代表人、执行事务合伙人或者委派代表，或</w:t>
      </w:r>
      <w:r>
        <w:rPr>
          <w:rFonts w:hint="default" w:ascii="Times New Roman" w:hAnsi="Times New Roman" w:eastAsia="仿宋_GB2312" w:cs="Times New Roman"/>
          <w:sz w:val="32"/>
        </w:rPr>
        <w:t>者负有责任的高级管理人员，自该私募基金管理人被注销登记之日起未逾</w:t>
      </w:r>
      <w:r>
        <w:rPr>
          <w:rFonts w:hint="default" w:ascii="Times New Roman" w:hAnsi="Times New Roman" w:eastAsia="仿宋_GB2312" w:cs="Times New Roman"/>
          <w:sz w:val="32"/>
        </w:rPr>
        <w:t>3年</w:t>
      </w:r>
      <w:r>
        <w:rPr>
          <w:rFonts w:hint="eastAsia" w:ascii="仿宋_GB2312" w:hAnsi="仿宋_GB2312" w:eastAsia="仿宋_GB2312" w:cs="仿宋_GB2312"/>
          <w:sz w:val="32"/>
        </w:rPr>
        <w:t>。</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第十条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私募基金管理人应当依法向国务院证券监督管理机构委托的机构（以下称登记备案机构）报送下列材料，履行登记手续：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（一）统一社会信用代码；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（二）公司章程或者合伙协议；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（三）股东、实际控制人、董事、监事、高级管理人员，普通合伙人、执行事务合伙人或者委派代表的基本信息，股东、实际控制人、合伙人相关受益所有人信息；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（四）保证报送材料真实、准确、完整和遵守监督管理规定的信用承诺书；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（五）国务院证券监督管理机构规定的其他材料。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私募基金管理人的控股股东、实际控制人、普通合伙人、执行事务合伙人或者委派代表等重大事项发生变更的，应当按照规定向登记备案机构履行变更登记手续。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登记备案机构应当公示已办理登记的私募基金管理人相关信息。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未经登记，任何单位或者个人不得使用“基金”或者“基金管理”字样或者近似名称进行投资活动，但法律、行政法规和国家另有规定的除外。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第十一条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私募基金管理人应当履行下列职责：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（一）依法募集资金，办理私募基金备案；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（二）对所管理的不同私募基金财产分别管理、分别记账，进行投资；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（三）按照基金合同约定管理私募基金并进行投资，建立有效的风险控制制度；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（四）按照基金合同约定确定私募基金收益分配方案，向投资者分配收益；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（五）按照基金合同约定向投资者提供与私募基金管理业务活动相关的信息；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（六）保存私募基金财产管理业务活动的记录、账册、报表和其他有关资料；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（七）国务院证券监督管理机构规定和基金合同约定的其他职责。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以非公开方式募集资金设立投资基金的，私募基金管理人还应当以自己的名义，为私募基金财产利益行使诉讼权利或者实施其他法律行为。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第十二条</w:t>
      </w:r>
      <w:r>
        <w:rPr>
          <w:rFonts w:ascii="仿宋_GB2312" w:hAnsi="仿宋_GB2312" w:eastAsia="仿宋_GB2312" w:cs="仿宋_GB2312"/>
          <w:sz w:val="32"/>
        </w:rPr>
        <w:t>　</w:t>
      </w:r>
      <w:r>
        <w:rPr>
          <w:rFonts w:hint="eastAsia" w:ascii="仿宋_GB2312" w:hAnsi="仿宋_GB2312" w:eastAsia="仿宋_GB2312" w:cs="仿宋_GB2312"/>
          <w:sz w:val="32"/>
        </w:rPr>
        <w:t>私募基金管理人的股东、实际控制人、合伙人不得有下列行为：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（一）虚假出资、抽逃出资、委托他人或者接受他人委托出资；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（二）未经股东会或者董事会决议等法定程序擅自干预私募基金管理人的业务活动；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（三）要求私募基金管理人利用私募基金财产为自己或者他人牟取利益，损害投资者利益；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（四）法律、行政法规和国务院证券监督管理机构规定禁止的其他行为。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第十三条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私募基金管理人应当持续符合下列要求：</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（一）财务状况良好，具有与业务类型和管理资产规模相适应的运营资金；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（二）法定代表人、执行事务合伙人或者委派代表、负责投资管理的高级管理人员按照国务院证券监督管理机构规定持有一定比例的私募基金管理人的股权或者财产份额，但国家另有规定的除外；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（三）国务院证券监督管理机构规定的其他要求。</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第十四条</w:t>
      </w:r>
      <w:r>
        <w:rPr>
          <w:rFonts w:ascii="仿宋_GB2312" w:hAnsi="仿宋_GB2312" w:eastAsia="仿宋_GB2312" w:cs="仿宋_GB2312"/>
          <w:sz w:val="32"/>
        </w:rPr>
        <w:t>　</w:t>
      </w:r>
      <w:r>
        <w:rPr>
          <w:rFonts w:hint="eastAsia" w:ascii="仿宋_GB2312" w:hAnsi="仿宋_GB2312" w:eastAsia="仿宋_GB2312" w:cs="仿宋_GB2312"/>
          <w:sz w:val="32"/>
        </w:rPr>
        <w:t>私募基金管理人有下列情形之一的，登记备案机构应当及时注销私募基金管理人登记并予以公示：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（一）自行申请注销登记；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（二）依法解散、被依法撤销或者被依法宣告破产；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（三）因非法集资、非法经营等重大违法行为被追究法律责任；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（四）登记之日</w:t>
      </w:r>
      <w:r>
        <w:rPr>
          <w:rFonts w:hint="default" w:ascii="Times New Roman" w:hAnsi="Times New Roman" w:eastAsia="仿宋_GB2312" w:cs="Times New Roman"/>
          <w:sz w:val="32"/>
        </w:rPr>
        <w:t>起12个</w:t>
      </w:r>
      <w:r>
        <w:rPr>
          <w:rFonts w:hint="eastAsia" w:ascii="仿宋_GB2312" w:hAnsi="仿宋_GB2312" w:eastAsia="仿宋_GB2312" w:cs="仿宋_GB2312"/>
          <w:sz w:val="32"/>
        </w:rPr>
        <w:t>月内未备案首只私募基金；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（五）所管理的私募基金全部清算后，自清算完毕之日起12个月内未备案新的私募基金；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（六）国务院证券监督管理机构规定的其他情形。</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登记备案机构注销私募基金管理人登记前，应当通知私募基金管理人清算私募基金财产或者依法将私募基金管理职责转移给其他经登记的私募基金管理人。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第十五条</w:t>
      </w:r>
      <w:r>
        <w:rPr>
          <w:rFonts w:ascii="仿宋_GB2312" w:hAnsi="仿宋_GB2312" w:eastAsia="仿宋_GB2312" w:cs="仿宋_GB2312"/>
          <w:sz w:val="32"/>
        </w:rPr>
        <w:t>　</w:t>
      </w:r>
      <w:r>
        <w:rPr>
          <w:rFonts w:hint="eastAsia" w:ascii="仿宋_GB2312" w:hAnsi="仿宋_GB2312" w:eastAsia="仿宋_GB2312" w:cs="仿宋_GB2312"/>
          <w:sz w:val="32"/>
        </w:rPr>
        <w:t>除基金合同另有约定外，私募基金财产应当由私募基金托管人托管。私募基金财产不进行托管的，应当明确保障私募基金财产安全的制度措施和纠纷解决机制。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第十六条</w:t>
      </w:r>
      <w:r>
        <w:rPr>
          <w:rFonts w:ascii="仿宋_GB2312" w:hAnsi="仿宋_GB2312" w:eastAsia="仿宋_GB2312" w:cs="仿宋_GB2312"/>
          <w:sz w:val="32"/>
        </w:rPr>
        <w:t>　</w:t>
      </w:r>
      <w:r>
        <w:rPr>
          <w:rFonts w:hint="eastAsia" w:ascii="仿宋_GB2312" w:hAnsi="仿宋_GB2312" w:eastAsia="仿宋_GB2312" w:cs="仿宋_GB2312"/>
          <w:sz w:val="32"/>
        </w:rPr>
        <w:t>私募基金财产进行托管的，私募基金托管人应当依法履行职责。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私募基金托管人应当依法建立托管业务和其他业务的隔离机制，保证私募基金财产的独立和安全。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pPr>
      <w:r>
        <w:rPr>
          <w:rFonts w:ascii="黑体" w:hAnsi="黑体" w:eastAsia="黑体" w:cs="黑体"/>
          <w:sz w:val="32"/>
        </w:rPr>
        <w:t>第</w:t>
      </w:r>
      <w:r>
        <w:rPr>
          <w:rFonts w:hint="eastAsia" w:ascii="黑体" w:hAnsi="黑体" w:eastAsia="黑体" w:cs="黑体"/>
          <w:sz w:val="32"/>
          <w:lang w:val="en-US" w:eastAsia="zh-CN"/>
        </w:rPr>
        <w:t>三</w:t>
      </w:r>
      <w:r>
        <w:rPr>
          <w:rFonts w:ascii="黑体" w:hAnsi="黑体" w:eastAsia="黑体" w:cs="黑体"/>
          <w:sz w:val="32"/>
        </w:rPr>
        <w:t>章　</w:t>
      </w:r>
      <w:r>
        <w:rPr>
          <w:rFonts w:hint="eastAsia" w:ascii="黑体" w:hAnsi="黑体" w:eastAsia="黑体" w:cs="黑体"/>
          <w:sz w:val="32"/>
        </w:rPr>
        <w:t>资金募集和投资运作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第十七条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私募基金管理人应当自行募集资金，不得委托他人募集资金，但国务院证券监督管理机构另有规定的除外。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第十八条</w:t>
      </w:r>
      <w:r>
        <w:rPr>
          <w:rFonts w:ascii="仿宋_GB2312" w:hAnsi="仿宋_GB2312" w:eastAsia="仿宋_GB2312" w:cs="仿宋_GB2312"/>
          <w:sz w:val="32"/>
        </w:rPr>
        <w:t>　</w:t>
      </w:r>
      <w:r>
        <w:rPr>
          <w:rFonts w:hint="eastAsia" w:ascii="仿宋_GB2312" w:hAnsi="仿宋_GB2312" w:eastAsia="仿宋_GB2312" w:cs="仿宋_GB2312"/>
          <w:sz w:val="32"/>
        </w:rPr>
        <w:t>私募基金应当向合格投资者募集或者转让，单只私募基金的投资者累计不得超过法律规定的人数。私募基金管理人不得采取为单一融资项目设立多只私募基金等方式，突破法律规定的人数限制；不得采取将私募基金份额或者收益权进行拆分转让等方式，降低合格投资者标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前款所称合格投资者，是指达到规定的资产规模或者收入水平，并且具备相应的风险识别能力和风险承担能力，其认购金额不低于规定限额的单位和个人。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合格投资者的具体标准由国务院证券监督管理机构规定。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第十九条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私募基金管理人应当向投资者充分揭示投资风险，根据投资者的风险识别能力和风险承担能力匹配不同风险等级的私募基金产品。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第二十条</w:t>
      </w:r>
      <w:r>
        <w:rPr>
          <w:rFonts w:ascii="仿宋_GB2312" w:hAnsi="仿宋_GB2312" w:eastAsia="仿宋_GB2312" w:cs="仿宋_GB2312"/>
          <w:sz w:val="32"/>
        </w:rPr>
        <w:t>　</w:t>
      </w:r>
      <w:r>
        <w:rPr>
          <w:rFonts w:hint="eastAsia" w:ascii="仿宋_GB2312" w:hAnsi="仿宋_GB2312" w:eastAsia="仿宋_GB2312" w:cs="仿宋_GB2312"/>
          <w:sz w:val="32"/>
        </w:rPr>
        <w:t>私募基金不得向合格投资者以外的单位和个人募集或者转让；不得向为他人代持的投资者募集或者转让；不得通过报刊、电台、电视台、互联网等大众传播媒介，电话、短信、即时通讯工具、电子邮件、传单，或者讲座、报告会、分析会等方式向不特定对象宣传推介；不得以虚假、片面、夸大等方式宣传推介；不得以私募基金托管人名义宣传推介；不得向投资者承诺投资本金不受损失或者承诺最低收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第二十一条</w:t>
      </w:r>
      <w:r>
        <w:rPr>
          <w:rFonts w:ascii="仿宋_GB2312" w:hAnsi="仿宋_GB2312" w:eastAsia="仿宋_GB2312" w:cs="仿宋_GB2312"/>
          <w:sz w:val="32"/>
        </w:rPr>
        <w:t>　</w:t>
      </w:r>
      <w:r>
        <w:rPr>
          <w:rFonts w:hint="eastAsia" w:ascii="仿宋_GB2312" w:hAnsi="仿宋_GB2312" w:eastAsia="仿宋_GB2312" w:cs="仿宋_GB2312"/>
          <w:sz w:val="32"/>
        </w:rPr>
        <w:t>私募基金管理人运用私募基金财产进行投资的，在以私募基金管理人名义开立账户、列入所投资企业股东名册或者持有其他私募基金财产时，应当注明私募基金名称。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第二十二条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私募基金管理人应当自私募基金募集完毕之日起</w:t>
      </w:r>
      <w:r>
        <w:rPr>
          <w:rFonts w:hint="default" w:ascii="Times New Roman" w:hAnsi="Times New Roman" w:eastAsia="仿宋_GB2312" w:cs="Times New Roman"/>
          <w:sz w:val="32"/>
        </w:rPr>
        <w:t>20</w:t>
      </w:r>
      <w:r>
        <w:rPr>
          <w:rFonts w:hint="eastAsia" w:ascii="仿宋_GB2312" w:hAnsi="仿宋_GB2312" w:eastAsia="仿宋_GB2312" w:cs="仿宋_GB2312"/>
          <w:sz w:val="32"/>
        </w:rPr>
        <w:t>个工作日内，向登记备案机构报送下列材料，办理备案：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（一）基金合同；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（二）托管协议或者保障私募基金财产安全的制度措施；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（三）私募基金财产证明文件；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（四）投资者的基本信息、认购金额、持有基金份额的数量及其受益所有人相关信息；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（五）国务院证券监督管理机构规定的其他材料。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应当具有保障基本投资能力和抗风险能力的实缴募集资金规模。登记备案机构根据私募基金的募集资金规模等情况实施分类公示，对募集的资金总额或者投资者人数达到规定标准的，应当向国务院证券监督管理机构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第二十三条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国务院证券监督管理机构应当建立健全私募基金监测机制，对私募基金及其投资者份额持有情况等进行集中监测，具体办法由国务院证券监督管理机构规定。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第二十四条</w:t>
      </w:r>
      <w:r>
        <w:rPr>
          <w:rFonts w:ascii="仿宋_GB2312" w:hAnsi="仿宋_GB2312" w:eastAsia="仿宋_GB2312" w:cs="仿宋_GB2312"/>
          <w:sz w:val="32"/>
        </w:rPr>
        <w:t>　</w:t>
      </w:r>
      <w:r>
        <w:rPr>
          <w:rFonts w:hint="eastAsia" w:ascii="仿宋_GB2312" w:hAnsi="仿宋_GB2312" w:eastAsia="仿宋_GB2312" w:cs="仿宋_GB2312"/>
          <w:sz w:val="32"/>
        </w:rPr>
        <w:t>私募基金财产的投资包括买卖股份有限公司股份、有限责任公司股权、债券、基金份额、其他证券及其衍生品种以及符合国务院证券监督管理机构规定的其他投资标的。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私募基金财产不得用于经营或者变相经营资金拆借、贷款等业务。私募基金管理人不得以要求地方人民政府承诺回购本金等方式变相增加政府隐性债务。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第二十五条</w:t>
      </w:r>
      <w:r>
        <w:rPr>
          <w:rFonts w:ascii="仿宋_GB2312" w:hAnsi="仿宋_GB2312" w:eastAsia="仿宋_GB2312" w:cs="仿宋_GB2312"/>
          <w:sz w:val="32"/>
        </w:rPr>
        <w:t>　</w:t>
      </w:r>
      <w:r>
        <w:rPr>
          <w:rFonts w:hint="eastAsia" w:ascii="仿宋_GB2312" w:hAnsi="仿宋_GB2312" w:eastAsia="仿宋_GB2312" w:cs="仿宋_GB2312"/>
          <w:sz w:val="32"/>
        </w:rPr>
        <w:t>私募基金的投资层级应当遵守国务院金融管理部门的规定。但符合国务院证券监督管理机构规定条件，将主要基金财产投资于其他私募基金的私募基金不计入投资层级。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创业投资基金、本条例第五条第二款规定私募基金的投资层级，由国务院有关部门规定。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第二十六条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私募基金管理人应当遵循专业化管理原则，聘用具有相应从业经历的高级管理人员负责投资管理、风险控制、合规等工作。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私募基金管理人应当遵循投资者利益优先原则，建立从业人员投资申报、登记、审查、处置等管理制度，防范利益输送和利益冲突。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第二十七条</w:t>
      </w:r>
      <w:r>
        <w:rPr>
          <w:rFonts w:ascii="仿宋_GB2312" w:hAnsi="仿宋_GB2312" w:eastAsia="仿宋_GB2312" w:cs="仿宋_GB2312"/>
          <w:sz w:val="32"/>
        </w:rPr>
        <w:t>　</w:t>
      </w:r>
      <w:r>
        <w:rPr>
          <w:rFonts w:hint="eastAsia" w:ascii="仿宋_GB2312" w:hAnsi="仿宋_GB2312" w:eastAsia="仿宋_GB2312" w:cs="仿宋_GB2312"/>
          <w:sz w:val="32"/>
        </w:rPr>
        <w:t>私募基金管理人不得将投资管理职责委托他人行使。</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私募基金管理人委托其他机构为私募基金提供证券投资建议服务的，接受委托的机构应当为《证券投资基金法》规定的基金投资顾问机构。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第二十八条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私募基金管理人应当建立健全关联交易管理制度，不得以私募基金财产与关联方进行不正当交易或者利益输送，不得通过多层嵌套或者其他方式进行隐瞒。</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管理人运用私募基金财产与自己、投资者、所管理的其他私募基金、其实际控制人控制的其他私募基金管理人管理的私募基金，或者与其有重大利害关系的其他主体进行交易的，应当履行基金合同约定的决策程序，并及时向投资者和私募基金托管人提供相关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第二十九条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私募基金管理人应当按照规定聘请会计师事务所对私募基金财产进行审计，向投资者提供审计结果，并报送登记备案机构。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第三十条</w:t>
      </w:r>
      <w:r>
        <w:rPr>
          <w:rFonts w:ascii="仿宋_GB2312" w:hAnsi="仿宋_GB2312" w:eastAsia="仿宋_GB2312" w:cs="仿宋_GB2312"/>
          <w:sz w:val="32"/>
        </w:rPr>
        <w:t>　</w:t>
      </w:r>
      <w:r>
        <w:rPr>
          <w:rFonts w:hint="eastAsia" w:ascii="仿宋_GB2312" w:hAnsi="仿宋_GB2312" w:eastAsia="仿宋_GB2312" w:cs="仿宋_GB2312"/>
          <w:sz w:val="32"/>
        </w:rPr>
        <w:t>私募基金管理人、私募基金托管人及其从业人员不得有下列行为：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（一）将其固有财产或者他人财产混同于私募基金财产；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（二）利用私募基金财产或者职务便利，为投资者以外的人牟取利益；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（三）侵占、挪用私募基金财产；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（四）泄露因职务便利获取的未公开信息，利用该信息从事或者明示、暗示他人从事相关的证券、期货交易活动；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（五）法律、行政法规和国务院证券监督管理机构规定禁止的其他行为。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第三十一条</w:t>
      </w:r>
      <w:r>
        <w:rPr>
          <w:rFonts w:ascii="仿宋_GB2312" w:hAnsi="仿宋_GB2312" w:eastAsia="仿宋_GB2312" w:cs="仿宋_GB2312"/>
          <w:sz w:val="32"/>
        </w:rPr>
        <w:t>　</w:t>
      </w:r>
      <w:r>
        <w:rPr>
          <w:rFonts w:hint="eastAsia" w:ascii="仿宋_GB2312" w:hAnsi="仿宋_GB2312" w:eastAsia="仿宋_GB2312" w:cs="仿宋_GB2312"/>
          <w:sz w:val="32"/>
        </w:rPr>
        <w:t>私募基金管理人在资金募集、投资运作过程中，应当按照国务院证券监督管理机构的规定和基金合同约定，向投资者提供信息。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私募基金财产进行托管的，私募基金管理人应当按照国务院证券监督管理机构的规定和托管协议约定，及时向私募基金托管人提供投资者基本信息、投资标的权属变更证明材料等信息。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第三十二条</w:t>
      </w:r>
      <w:r>
        <w:rPr>
          <w:rFonts w:ascii="仿宋_GB2312" w:hAnsi="仿宋_GB2312" w:eastAsia="仿宋_GB2312" w:cs="仿宋_GB2312"/>
          <w:sz w:val="32"/>
        </w:rPr>
        <w:t>　</w:t>
      </w:r>
      <w:r>
        <w:rPr>
          <w:rFonts w:hint="eastAsia" w:ascii="仿宋_GB2312" w:hAnsi="仿宋_GB2312" w:eastAsia="仿宋_GB2312" w:cs="仿宋_GB2312"/>
          <w:sz w:val="32"/>
        </w:rPr>
        <w:t>私募基金管理人、私募基金托管人及其从业人员提供、报送的信息应当真实、准确、完整，不得有下列行为：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（一）虚假记载、误导性陈述或者重大遗漏；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（二）对投资业绩进行预测；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（三）向投资者承诺投资本金不受损失或者承诺最低收益；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（四）法律、行政法规和国务院证券监督管理机构规定禁止的其他行为。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第三十三条</w:t>
      </w:r>
      <w:r>
        <w:rPr>
          <w:rFonts w:ascii="仿宋_GB2312" w:hAnsi="仿宋_GB2312" w:eastAsia="仿宋_GB2312" w:cs="仿宋_GB2312"/>
          <w:sz w:val="32"/>
        </w:rPr>
        <w:t>　</w:t>
      </w:r>
      <w:r>
        <w:rPr>
          <w:rFonts w:hint="eastAsia" w:ascii="仿宋_GB2312" w:hAnsi="仿宋_GB2312" w:eastAsia="仿宋_GB2312" w:cs="仿宋_GB2312"/>
          <w:sz w:val="32"/>
        </w:rPr>
        <w:t>私募基金管理人、私募基金托管人、私募基金服务机构应当按照国务院证券监督管理机构的规定，向登记备案机构报送私募基金投资运作等信息。登记备案机构应当根据不同私募基金类型，对报送信息的内容、频次等作出规定，并汇总分析私募基金行业情况，向国务院证券监督管理机构报送私募基金行业相关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登记备案机构应当加强风险预警，发现可能存在重大风险的，及时采取措施并向国务院证券监督管理机构报告。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登记备案机构应当对本条第一款规定的信息保密，除法律、行政法规另有规定外，不得对外提供。</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第三十四条</w:t>
      </w:r>
      <w:r>
        <w:rPr>
          <w:rFonts w:ascii="仿宋_GB2312" w:hAnsi="仿宋_GB2312" w:eastAsia="仿宋_GB2312" w:cs="仿宋_GB2312"/>
          <w:sz w:val="32"/>
        </w:rPr>
        <w:t>　</w:t>
      </w:r>
      <w:r>
        <w:rPr>
          <w:rFonts w:hint="eastAsia" w:ascii="仿宋_GB2312" w:hAnsi="仿宋_GB2312" w:eastAsia="仿宋_GB2312" w:cs="仿宋_GB2312"/>
          <w:sz w:val="32"/>
        </w:rPr>
        <w:t>因私募基金管理人无法正常履行职责或者出现重大风险等情形，导致私募基金无法正常运作、终止的，由基金合同约定或者有关规定确定的其他专业机构，行使更换私募基金管理人、修改或者提前终止基金合同、组织私募基金清算等职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pPr>
      <w:r>
        <w:rPr>
          <w:rFonts w:ascii="黑体" w:hAnsi="黑体" w:eastAsia="黑体" w:cs="黑体"/>
          <w:sz w:val="32"/>
        </w:rPr>
        <w:t>第四章　</w:t>
      </w:r>
      <w:r>
        <w:rPr>
          <w:rFonts w:hint="eastAsia" w:ascii="黑体" w:hAnsi="黑体" w:eastAsia="黑体" w:cs="黑体"/>
          <w:sz w:val="32"/>
        </w:rPr>
        <w:t>关于创业投资基金的特别规定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第三十五条</w:t>
      </w:r>
      <w:r>
        <w:rPr>
          <w:rFonts w:ascii="仿宋_GB2312" w:hAnsi="仿宋_GB2312" w:eastAsia="仿宋_GB2312" w:cs="仿宋_GB2312"/>
          <w:sz w:val="32"/>
        </w:rPr>
        <w:t>　</w:t>
      </w:r>
      <w:r>
        <w:rPr>
          <w:rFonts w:hint="eastAsia" w:ascii="仿宋_GB2312" w:hAnsi="仿宋_GB2312" w:eastAsia="仿宋_GB2312" w:cs="仿宋_GB2312"/>
          <w:sz w:val="32"/>
        </w:rPr>
        <w:t>本条例所称创业投资基金，是指符合下列条件的私募基金：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（一）投资范围限于未上市企业，但所投资企业上市后基金所持股份的未转让部分及其配售部分除外；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（二）基金名称包含“创业投资基金”字样，或者在公司、合伙企业经营范围中包含“从事创业投资活动”字样；</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（三）基金合同体现创业投资策略；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（四）不使用杠杆融资，但国家另有规定的除外；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（五）基金最低存续期限符合国家有关规定；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（六）国家规定的其他条件。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第三十六条</w:t>
      </w:r>
      <w:r>
        <w:rPr>
          <w:rFonts w:ascii="仿宋_GB2312" w:hAnsi="仿宋_GB2312" w:eastAsia="仿宋_GB2312" w:cs="仿宋_GB2312"/>
          <w:sz w:val="32"/>
        </w:rPr>
        <w:t>　</w:t>
      </w:r>
      <w:r>
        <w:rPr>
          <w:rFonts w:hint="eastAsia" w:ascii="仿宋_GB2312" w:hAnsi="仿宋_GB2312" w:eastAsia="仿宋_GB2312" w:cs="仿宋_GB2312"/>
          <w:sz w:val="32"/>
        </w:rPr>
        <w:t>国家对创业投资基金给予政策支持，鼓励和引导其投资成长性、创新性创业企业，鼓励长期资金投资于创业投资基金。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国务院发展改革部门负责组织拟定促进创业投资基金发展的政策措施。国务院证券监督管理机构和国务院发展改革部门建立健全信息和支持政策共享机制，加强创业投资基金监督管理政策和发展政策的协同配合。登记备案机构应当及时向国务院证券监督管理机构和国务院发展改革部门报送与创业投资基金相关的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享受国家政策支持的创业投资基金，其投资应当符合国家有关规定。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第三十七条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国务院证券监督管理机构对创业投资基金实施区别于其他私募基金的差异化监督管理：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（一）优化创业投资基金营商环境，简化登记备案手续；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（二）对合法募资、合规投资、诚信经营的创业投资基金在资金募集、投资运作、风险监测、现场检查等方面实施差异化监督管理，减少检查频次；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（三）对主要从事长期投资、价值投资、重大科技成果转化的创业投资基金在投资退出等方面提供便利。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第三十八条</w:t>
      </w:r>
      <w:r>
        <w:rPr>
          <w:rFonts w:ascii="仿宋_GB2312" w:hAnsi="仿宋_GB2312" w:eastAsia="仿宋_GB2312" w:cs="仿宋_GB2312"/>
          <w:sz w:val="32"/>
        </w:rPr>
        <w:t>　</w:t>
      </w:r>
      <w:r>
        <w:rPr>
          <w:rFonts w:hint="eastAsia" w:ascii="仿宋_GB2312" w:hAnsi="仿宋_GB2312" w:eastAsia="仿宋_GB2312" w:cs="仿宋_GB2312"/>
          <w:sz w:val="32"/>
        </w:rPr>
        <w:t>登记备案机构在登记备案、事项变更等方面对创业投资基金实施区别于其他私募基金的差异化自律管理。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pPr>
      <w:r>
        <w:rPr>
          <w:rFonts w:ascii="黑体" w:hAnsi="黑体" w:eastAsia="黑体" w:cs="黑体"/>
          <w:sz w:val="32"/>
        </w:rPr>
        <w:t>第五章　</w:t>
      </w:r>
      <w:r>
        <w:rPr>
          <w:rFonts w:hint="eastAsia" w:ascii="黑体" w:hAnsi="黑体" w:eastAsia="黑体" w:cs="黑体"/>
          <w:sz w:val="32"/>
        </w:rPr>
        <w:t>监督管理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第三十九条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国务院证券监督管理机构对私募基金业务活动实施监督管理，依法履行下列职责：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（一）制定有关私募基金业务活动监督管理的规章、规则；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（二）对私募基金管理人、私募基金托管人以及其他机构从事私募基金业务活动进行监督管理，对违法行为进行查处；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（三）对登记备案和自律管理活动进行指导、检查和监督；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（四）法律、行政法规规定的其他职责。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第四十条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国务院证券监督管理机构依法履行职责，有权采取下列措施：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（一）对私募基金管理人、私募基金托管人、私募基金服务机构进行现场检查，并要求其报送有关业务资料；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（二）进入涉嫌违法行为发生场所调查取证；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（三）询问当事人和与被调查事件有关的单位和个人，要求其对与被调查事件有关的事项作出说明；</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（四）查阅、复制与被调查事件有关的财产权登记、通讯记录等资料；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（五）查阅、复制当事人和与被调查事件有关的单位和个人的证券交易记录、登记过户记录、财务会计资料以及其他有关文件和资料；对可能被转移、隐匿或者毁损的文件和资料，可以予以封存；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（六）依法查询当事人和与被调查事件有关的账户信息；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（七）法律、行政法规规定的其他措施。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为防范私募基金风险，维护市场秩序，国务院证券监督管理机构可以采取责令改正、监管谈话、出具警示函等措施。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第四十一条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国务院证券监督管理机构依法进行监督检查或者调查时，监督检查或者调查人员不得少于</w:t>
      </w:r>
      <w:r>
        <w:rPr>
          <w:rFonts w:hint="default" w:ascii="Times New Roman" w:hAnsi="Times New Roman" w:eastAsia="仿宋_GB2312" w:cs="Times New Roman"/>
          <w:sz w:val="32"/>
        </w:rPr>
        <w:t>2</w:t>
      </w:r>
      <w:r>
        <w:rPr>
          <w:rFonts w:hint="eastAsia" w:ascii="仿宋_GB2312" w:hAnsi="仿宋_GB2312" w:eastAsia="仿宋_GB2312" w:cs="仿宋_GB2312"/>
          <w:sz w:val="32"/>
        </w:rPr>
        <w:t>人，并应当出示执法证件和监督检查、调查通知书或者其他执法文书。对监督检查或者调查中知悉的商业秘密、个人隐私，依法负有保密义务。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被检查、调查的单位和个人应当配合国务院证券监督管理机构依法进行的监督检查或者调查，如实提供有关文件和资料，不得拒绝、阻碍和隐瞒。</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第四十二条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发现私募基金管理人违法违规，或者其内部治理结构和风险控制管理不符合规定的，应当责令限期改正；逾期未改正，或者行为严重危及该私募基金管理人的稳健运行、损害投资者合法权益的，国务院证券监督管理机构可以区别情形，对其采取下列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（一）责令暂停部分或者全部业务；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（二）责令更换董事、监事、高级管理人员、执行事务合伙人或者委派代表，或者限制其权利；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（三）责令负有责任的股东转让股权、负有责任的合伙人转让财产份额，限制负有责任的股东或者合伙人行使权利；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（四）责令私募基金管理人聘请或者指定第三方机构对私募基金财产进行审计，相关费用由私募基金管理人承担。</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管理人违法经营或者出现重大风险，严重危害市场秩序、损害投资者利益的，国务院证券监督管理机构除采取前款规定的措施外，还可以对该私募基金管理人采取指定其他机构接管、通知登记备案机构注销登记等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第四十三条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应当将私募基金管理人、私募基金托管人、私募基金服务机构及其从业人员的诚信信息记入资本市场诚信数据库和全国信用信息共享平台。国务院证券监督管理机构会同国务院有关部门依法建立健全私募基金管理人以及有关责任主体失信联合惩戒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国务院证券监督管理机构会同其他金融管理部门等国务院有关部门和省、自治区、直辖市人民政府建立私募基金监督管理信息共享、统计数据报送和风险处置协作机制。处置风险过程中，有关地方人民政府应当采取有效措施维护社会稳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sz w:val="32"/>
        </w:rPr>
      </w:pP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32" w:firstLineChars="200"/>
        <w:jc w:val="center"/>
        <w:textAlignment w:val="auto"/>
        <w:rPr>
          <w:rFonts w:ascii="黑体" w:hAnsi="黑体" w:eastAsia="黑体" w:cs="黑体"/>
          <w:sz w:val="32"/>
        </w:rPr>
      </w:pPr>
      <w:r>
        <w:rPr>
          <w:rFonts w:hint="eastAsia" w:ascii="黑体" w:hAnsi="黑体" w:eastAsia="黑体" w:cs="黑体"/>
          <w:sz w:val="32"/>
        </w:rPr>
        <w:t>法律责任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第四十四条</w:t>
      </w:r>
      <w:r>
        <w:rPr>
          <w:rFonts w:ascii="仿宋_GB2312" w:hAnsi="仿宋_GB2312" w:eastAsia="仿宋_GB2312" w:cs="仿宋_GB2312"/>
          <w:sz w:val="32"/>
        </w:rPr>
        <w:t>　</w:t>
      </w:r>
      <w:r>
        <w:rPr>
          <w:rFonts w:hint="eastAsia" w:ascii="仿宋_GB2312" w:hAnsi="仿宋_GB2312" w:eastAsia="仿宋_GB2312" w:cs="仿宋_GB2312"/>
          <w:sz w:val="32"/>
        </w:rPr>
        <w:t>未依照本条例第十条规定履行登记手续，使用“基金”或者“基金管理”字样或者近</w:t>
      </w:r>
      <w:r>
        <w:rPr>
          <w:rFonts w:hint="default" w:ascii="Times New Roman" w:hAnsi="Times New Roman" w:eastAsia="仿宋_GB2312" w:cs="Times New Roman"/>
          <w:sz w:val="32"/>
        </w:rPr>
        <w:t>似名称进行投资活动的，责令改正，没收违法所得，并处违法所得1倍以上5倍以下的罚款；没有违法所得或者违法所得不足100万元的，并处10万元以上100万元以下的罚款。对直接负责的主管人员和其他直接责任人员给予警告，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第四十五条</w:t>
      </w:r>
      <w:r>
        <w:rPr>
          <w:rFonts w:ascii="仿宋_GB2312" w:hAnsi="仿宋_GB2312" w:eastAsia="仿宋_GB2312" w:cs="仿宋_GB2312"/>
          <w:sz w:val="32"/>
        </w:rPr>
        <w:t>　</w:t>
      </w:r>
      <w:r>
        <w:rPr>
          <w:rFonts w:hint="eastAsia" w:ascii="仿宋_GB2312" w:hAnsi="仿宋_GB2312" w:eastAsia="仿宋_GB2312" w:cs="仿宋_GB2312"/>
          <w:sz w:val="32"/>
        </w:rPr>
        <w:t>私募基金管理人的股东、实际控制人、合伙人违反本条例第十二条规定的</w:t>
      </w:r>
      <w:r>
        <w:rPr>
          <w:rFonts w:hint="default" w:ascii="Times New Roman" w:hAnsi="Times New Roman" w:eastAsia="仿宋_GB2312" w:cs="Times New Roman"/>
          <w:sz w:val="32"/>
        </w:rPr>
        <w:t>，责令改正，给予警告或者通报批评，没收违法所得，并处违法所得1倍以上5倍以下的罚款；没有违法所得或者违法所得不足100万元的，并处10万元以上100万元以下的罚款。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第四十六条</w:t>
      </w:r>
      <w:r>
        <w:rPr>
          <w:rFonts w:ascii="仿宋_GB2312" w:hAnsi="仿宋_GB2312" w:eastAsia="仿宋_GB2312" w:cs="仿宋_GB2312"/>
          <w:sz w:val="32"/>
        </w:rPr>
        <w:t>　</w:t>
      </w:r>
      <w:r>
        <w:rPr>
          <w:rFonts w:hint="eastAsia" w:ascii="仿宋_GB2312" w:hAnsi="仿宋_GB2312" w:eastAsia="仿宋_GB2312" w:cs="仿宋_GB2312"/>
          <w:sz w:val="32"/>
        </w:rPr>
        <w:t>私募基金管理人违反本条例第十三条规定的，责令改正；拒不改正的，给予警告或者通报批评，并</w:t>
      </w:r>
      <w:r>
        <w:rPr>
          <w:rFonts w:hint="default" w:ascii="Times New Roman" w:hAnsi="Times New Roman" w:eastAsia="仿宋_GB2312" w:cs="Times New Roman"/>
          <w:sz w:val="32"/>
        </w:rPr>
        <w:t>处</w:t>
      </w:r>
      <w:r>
        <w:rPr>
          <w:rFonts w:hint="default" w:ascii="Times New Roman" w:hAnsi="Times New Roman" w:eastAsia="仿宋_GB2312" w:cs="Times New Roman"/>
          <w:sz w:val="32"/>
        </w:rPr>
        <w:t>10万元以上100万元以下的罚款，责令其停止私募基金业务活动并予以公告。对直接负责的主管人员和其他直接责任人员给予警告或者通报批评，并处3万元以上30万元以下的罚款。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第四十七条</w:t>
      </w:r>
      <w:r>
        <w:rPr>
          <w:rFonts w:ascii="仿宋_GB2312" w:hAnsi="仿宋_GB2312" w:eastAsia="仿宋_GB2312" w:cs="仿宋_GB2312"/>
          <w:sz w:val="32"/>
        </w:rPr>
        <w:t>　</w:t>
      </w:r>
      <w:r>
        <w:rPr>
          <w:rFonts w:hint="eastAsia" w:ascii="仿宋_GB2312" w:hAnsi="仿宋_GB2312" w:eastAsia="仿宋_GB2312" w:cs="仿宋_GB2312"/>
          <w:sz w:val="32"/>
        </w:rPr>
        <w:t>违反本条例第十六条第二款规定，私募基金托管人未建立业务隔离机制的，责令</w:t>
      </w:r>
      <w:r>
        <w:rPr>
          <w:rFonts w:hint="default" w:ascii="Times New Roman" w:hAnsi="Times New Roman" w:eastAsia="仿宋_GB2312" w:cs="Times New Roman"/>
          <w:sz w:val="32"/>
        </w:rPr>
        <w:t>改正</w:t>
      </w:r>
      <w:r>
        <w:rPr>
          <w:rFonts w:hint="default" w:ascii="Times New Roman" w:hAnsi="Times New Roman" w:eastAsia="仿宋_GB2312" w:cs="Times New Roman"/>
          <w:sz w:val="32"/>
        </w:rPr>
        <w:t>，给予警告或者通报批评，并处5万元以上50万元以下的罚款。对直接负责的主管人员和其他直接责任人员给予警告或者通报批评，并处3万元以上30万元以下的罚款。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仿宋_GB2312" w:cs="Times New Roman"/>
          <w:sz w:val="32"/>
        </w:rPr>
      </w:pPr>
      <w:r>
        <w:rPr>
          <w:rFonts w:ascii="黑体" w:hAnsi="黑体" w:eastAsia="黑体" w:cs="黑体"/>
          <w:sz w:val="32"/>
        </w:rPr>
        <w:t>第四十八条</w:t>
      </w:r>
      <w:r>
        <w:rPr>
          <w:rFonts w:ascii="仿宋_GB2312" w:hAnsi="仿宋_GB2312" w:eastAsia="仿宋_GB2312" w:cs="仿宋_GB2312"/>
          <w:sz w:val="32"/>
        </w:rPr>
        <w:t>　</w:t>
      </w:r>
      <w:r>
        <w:rPr>
          <w:rFonts w:hint="eastAsia" w:ascii="仿宋_GB2312" w:hAnsi="仿宋_GB2312" w:eastAsia="仿宋_GB2312" w:cs="仿宋_GB2312"/>
          <w:sz w:val="32"/>
        </w:rPr>
        <w:t>违反本条例第十七条、第十八条、第二十条关于私募基金合格投资者管理和募集方式</w:t>
      </w:r>
      <w:r>
        <w:rPr>
          <w:rFonts w:hint="default" w:ascii="Times New Roman" w:hAnsi="Times New Roman" w:eastAsia="仿宋_GB2312" w:cs="Times New Roman"/>
          <w:sz w:val="32"/>
        </w:rPr>
        <w:t>等规定的，没收违法所得，并处违法所得1倍以上5倍以下的罚款；没有违法所得或者违法所得不足100万元的，并处10万元以上100万元以下的罚款。对直接负责的主管人员和其他直接责任人员给予警告，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cs="Times New Roman"/>
        </w:rPr>
      </w:pPr>
      <w:r>
        <w:rPr>
          <w:rFonts w:ascii="黑体" w:hAnsi="黑体" w:eastAsia="黑体" w:cs="黑体"/>
          <w:sz w:val="32"/>
        </w:rPr>
        <w:t>第四十九条</w:t>
      </w:r>
      <w:r>
        <w:rPr>
          <w:rFonts w:ascii="仿宋_GB2312" w:hAnsi="仿宋_GB2312" w:eastAsia="仿宋_GB2312" w:cs="仿宋_GB2312"/>
          <w:sz w:val="32"/>
        </w:rPr>
        <w:t>　</w:t>
      </w:r>
      <w:r>
        <w:rPr>
          <w:rFonts w:hint="eastAsia" w:ascii="仿宋_GB2312" w:hAnsi="仿宋_GB2312" w:eastAsia="仿宋_GB2312" w:cs="仿宋_GB2312"/>
          <w:sz w:val="32"/>
        </w:rPr>
        <w:t>违反本条例第十九条规定，未向投资者充分揭</w:t>
      </w:r>
      <w:r>
        <w:rPr>
          <w:rFonts w:hint="default" w:ascii="Times New Roman" w:hAnsi="Times New Roman" w:eastAsia="仿宋_GB2312" w:cs="Times New Roman"/>
          <w:sz w:val="32"/>
        </w:rPr>
        <w:t>示投资风险，并误导其投资与其风险识别能力和风险承担能力不匹配的私募基金产品的，给予警告或者通报批评，</w:t>
      </w:r>
      <w:r>
        <w:rPr>
          <w:rFonts w:hint="default" w:ascii="Times New Roman" w:hAnsi="Times New Roman" w:eastAsia="仿宋_GB2312" w:cs="Times New Roman"/>
          <w:sz w:val="32"/>
        </w:rPr>
        <w:t>并处10万元以上30万元以下的罚款；情节严重的，责令其停止私募基金业务活动并予以公告。对直接负责的主管人员和其他直接责任人员给予警告或者通报批评，并处3万元以上10万元以下的罚款。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cs="Times New Roman"/>
        </w:rPr>
      </w:pPr>
      <w:r>
        <w:rPr>
          <w:rFonts w:hint="default" w:ascii="Times New Roman" w:hAnsi="Times New Roman" w:eastAsia="黑体" w:cs="Times New Roman"/>
          <w:sz w:val="32"/>
        </w:rPr>
        <w:t>第五十条</w:t>
      </w:r>
      <w:r>
        <w:rPr>
          <w:rFonts w:hint="default" w:ascii="Times New Roman" w:hAnsi="Times New Roman" w:eastAsia="仿宋_GB2312" w:cs="Times New Roman"/>
          <w:sz w:val="32"/>
        </w:rPr>
        <w:t>　违反本条例第二十二条第一款规定，私募基金管理人未对募集完毕的私募基金办理备案的，</w:t>
      </w:r>
      <w:r>
        <w:rPr>
          <w:rFonts w:hint="default" w:ascii="Times New Roman" w:hAnsi="Times New Roman" w:eastAsia="仿宋_GB2312" w:cs="Times New Roman"/>
          <w:sz w:val="32"/>
        </w:rPr>
        <w:t>处10万元以上30万元以下的罚款。对直接负责的主管人员和其他直接责任人员给予警告，并处3万元以上10万元以下的罚款。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cs="Times New Roman"/>
        </w:rPr>
      </w:pPr>
      <w:r>
        <w:rPr>
          <w:rFonts w:hint="default" w:ascii="Times New Roman" w:hAnsi="Times New Roman" w:eastAsia="黑体" w:cs="Times New Roman"/>
          <w:sz w:val="32"/>
        </w:rPr>
        <w:t>第五十一条</w:t>
      </w:r>
      <w:r>
        <w:rPr>
          <w:rFonts w:hint="default" w:ascii="Times New Roman" w:hAnsi="Times New Roman" w:eastAsia="仿宋_GB2312" w:cs="Times New Roman"/>
          <w:sz w:val="32"/>
        </w:rPr>
        <w:t>　违反本条例第二十四条第二款规定，将私募基金财产用于经营或者变相经营资</w:t>
      </w:r>
      <w:r>
        <w:rPr>
          <w:rFonts w:hint="default" w:ascii="Times New Roman" w:hAnsi="Times New Roman" w:eastAsia="仿宋_GB2312" w:cs="Times New Roman"/>
          <w:sz w:val="32"/>
        </w:rPr>
        <w:t>金拆借、贷款等业务，或者要求地方人民政府承诺回购本金的，责令改正，给予警告或者通报批评，没收违法所得，并处10万元以上100万元以下的罚款。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cs="Times New Roman"/>
        </w:rPr>
      </w:pPr>
      <w:r>
        <w:rPr>
          <w:rFonts w:hint="default" w:ascii="Times New Roman" w:hAnsi="Times New Roman" w:eastAsia="黑体" w:cs="Times New Roman"/>
          <w:sz w:val="32"/>
        </w:rPr>
        <w:t>第五十二条</w:t>
      </w:r>
      <w:r>
        <w:rPr>
          <w:rFonts w:hint="default" w:ascii="Times New Roman" w:hAnsi="Times New Roman" w:eastAsia="仿宋_GB2312" w:cs="Times New Roman"/>
          <w:sz w:val="32"/>
        </w:rPr>
        <w:t>　违反本条例第二十六条规定，私募基金管理人未聘用具有相应从业经历的高级管理人员负责投资管理、风险控制、合规等工作，或者未建立从业人员投资申报、登</w:t>
      </w:r>
      <w:r>
        <w:rPr>
          <w:rFonts w:hint="default" w:ascii="Times New Roman" w:hAnsi="Times New Roman" w:eastAsia="仿宋_GB2312" w:cs="Times New Roman"/>
          <w:sz w:val="32"/>
        </w:rPr>
        <w:t>记、审查、处置等管理制度的，责令改正，给予警告或者通报批评，并处10万元以上100万元以下的罚款。对直接负责的主管人员和其他直接责任人员给予警告或者通报批评，并处3万元以上30万元以下的罚款。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cs="Times New Roman"/>
        </w:rPr>
      </w:pPr>
      <w:r>
        <w:rPr>
          <w:rFonts w:hint="default" w:ascii="Times New Roman" w:hAnsi="Times New Roman" w:eastAsia="黑体" w:cs="Times New Roman"/>
          <w:sz w:val="32"/>
        </w:rPr>
        <w:t>第五十三条</w:t>
      </w:r>
      <w:r>
        <w:rPr>
          <w:rFonts w:hint="default" w:ascii="Times New Roman" w:hAnsi="Times New Roman" w:eastAsia="仿宋_GB2312" w:cs="Times New Roman"/>
          <w:sz w:val="32"/>
        </w:rPr>
        <w:t>　违反本条例第二十七条规定，私募基金管理人委托他人行使投资管理职责，或者委托不符合《证券投资基金法》规定的机构提供证券投资</w:t>
      </w:r>
      <w:r>
        <w:rPr>
          <w:rFonts w:hint="default" w:ascii="Times New Roman" w:hAnsi="Times New Roman" w:eastAsia="仿宋_GB2312" w:cs="Times New Roman"/>
          <w:sz w:val="32"/>
        </w:rPr>
        <w:t>建议服务的，责令改正，给予警告或者通报批评，没收违法所得，并处10万元以上100万元以下的罚款。对直接负责的主管人员和其他直接责任人员给予警告或者通报批评，并处3万元以上30万元以下的罚款。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cs="Times New Roman"/>
        </w:rPr>
      </w:pPr>
      <w:r>
        <w:rPr>
          <w:rFonts w:hint="default" w:ascii="Times New Roman" w:hAnsi="Times New Roman" w:eastAsia="黑体" w:cs="Times New Roman"/>
          <w:sz w:val="32"/>
        </w:rPr>
        <w:t>第五十四条</w:t>
      </w:r>
      <w:r>
        <w:rPr>
          <w:rFonts w:hint="default" w:ascii="Times New Roman" w:hAnsi="Times New Roman" w:eastAsia="仿宋_GB2312" w:cs="Times New Roman"/>
          <w:sz w:val="32"/>
        </w:rPr>
        <w:t>　违反本条例第二十八条规定，私募基金管理人从事关联交易的，责令改正，给予警告或者通报批评，没收违法所得，并处</w:t>
      </w:r>
      <w:r>
        <w:rPr>
          <w:rFonts w:hint="default" w:ascii="Times New Roman" w:hAnsi="Times New Roman" w:eastAsia="仿宋_GB2312" w:cs="Times New Roman"/>
          <w:sz w:val="32"/>
        </w:rPr>
        <w:t>10万元以上100万元以下的罚款。对直接负责的主管人员和其他直接责任人员给予警告或者通报批评，并处3万元以上30万元以下的罚款。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cs="Times New Roman"/>
        </w:rPr>
      </w:pPr>
      <w:r>
        <w:rPr>
          <w:rFonts w:hint="default" w:ascii="Times New Roman" w:hAnsi="Times New Roman" w:eastAsia="黑体" w:cs="Times New Roman"/>
          <w:sz w:val="32"/>
        </w:rPr>
        <w:t>第五十五条</w:t>
      </w:r>
      <w:r>
        <w:rPr>
          <w:rFonts w:hint="default" w:ascii="Times New Roman" w:hAnsi="Times New Roman" w:eastAsia="仿宋_GB2312" w:cs="Times New Roman"/>
          <w:sz w:val="32"/>
        </w:rPr>
        <w:t>　私募基金管理人、私募基金托管人及其从业人员有本条例第三十条所列行为之一</w:t>
      </w:r>
      <w:r>
        <w:rPr>
          <w:rFonts w:hint="default" w:ascii="Times New Roman" w:hAnsi="Times New Roman" w:eastAsia="仿宋_GB2312" w:cs="Times New Roman"/>
          <w:sz w:val="32"/>
        </w:rPr>
        <w:t>的，责令改正，给予警告或者通报批评，没收违法所得，并处违法所得1倍以上5倍以下的罚款；没有违法所得或者违法所得不足100万元的，并处10万元以上100万元以下的罚款。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cs="Times New Roman"/>
        </w:rPr>
      </w:pPr>
      <w:r>
        <w:rPr>
          <w:rFonts w:hint="default" w:ascii="Times New Roman" w:hAnsi="Times New Roman" w:eastAsia="黑体" w:cs="Times New Roman"/>
          <w:sz w:val="32"/>
        </w:rPr>
        <w:t>第五十六条</w:t>
      </w:r>
      <w:r>
        <w:rPr>
          <w:rFonts w:hint="default" w:ascii="Times New Roman" w:hAnsi="Times New Roman" w:eastAsia="仿宋_GB2312" w:cs="Times New Roman"/>
          <w:sz w:val="32"/>
        </w:rPr>
        <w:t>　私募基金管理人、私募基金托管人及其从业人员未依照本条例规定提供、报送相关信息，或者有本条例第三十二条所列行为之一的，责令改正</w:t>
      </w:r>
      <w:r>
        <w:rPr>
          <w:rFonts w:hint="default" w:ascii="Times New Roman" w:hAnsi="Times New Roman" w:eastAsia="仿宋_GB2312" w:cs="Times New Roman"/>
          <w:sz w:val="32"/>
        </w:rPr>
        <w:t>，给予警告或者通报批评，没收违法所得，并处10万元以上100万元以下的罚款。对直接负责的主管人员和其他直接责任人员给予警告或者通报批评，并处3万元以上30万元以下的罚款。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default" w:ascii="Times New Roman" w:hAnsi="Times New Roman" w:eastAsia="黑体" w:cs="Times New Roman"/>
          <w:sz w:val="32"/>
        </w:rPr>
        <w:t>第五十七条</w:t>
      </w:r>
      <w:r>
        <w:rPr>
          <w:rFonts w:hint="default" w:ascii="Times New Roman" w:hAnsi="Times New Roman" w:eastAsia="仿宋_GB2312" w:cs="Times New Roman"/>
          <w:sz w:val="32"/>
        </w:rPr>
        <w:t>　私募基金服务机构及其从业人员违反法律、行政法规规定，未恪尽职守、勤勉尽责的，责令改正，给予警告或者通报批评，并处10万元以上30万元以下的罚款；情节严重的，责令其停止私募基金服务业务。对直接负责的主管人员和其他直接责任人员给予警告或者通报批评，并处3万元以上10</w:t>
      </w:r>
      <w:r>
        <w:rPr>
          <w:rFonts w:hint="eastAsia" w:ascii="仿宋_GB2312" w:hAnsi="仿宋_GB2312" w:eastAsia="仿宋_GB2312" w:cs="仿宋_GB2312"/>
          <w:sz w:val="32"/>
        </w:rPr>
        <w:t>万元以下的罚款。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第五十八条</w:t>
      </w:r>
      <w:r>
        <w:rPr>
          <w:rFonts w:ascii="仿宋_GB2312" w:hAnsi="仿宋_GB2312" w:eastAsia="仿宋_GB2312" w:cs="仿宋_GB2312"/>
          <w:sz w:val="32"/>
        </w:rPr>
        <w:t>　</w:t>
      </w:r>
      <w:r>
        <w:rPr>
          <w:rFonts w:hint="eastAsia" w:ascii="仿宋_GB2312" w:hAnsi="仿宋_GB2312" w:eastAsia="仿宋_GB2312" w:cs="仿宋_GB2312"/>
          <w:sz w:val="32"/>
        </w:rPr>
        <w:t>私募基金管理人、私募基金托管人、私募基金服务机构及其从业人员违反本条例或者国务院证券监督管理机构的有关规定，情节严重的，国务院证券监督管理机构可以对有关责任人员采取证券期货市场禁入措施。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拒</w:t>
      </w:r>
      <w:r>
        <w:rPr>
          <w:rFonts w:hint="default" w:ascii="Times New Roman" w:hAnsi="Times New Roman" w:eastAsia="仿宋_GB2312" w:cs="Times New Roman"/>
          <w:sz w:val="32"/>
        </w:rPr>
        <w:t>绝、阻碍国务院证券监督管理机构及其工作人员依法行使监督检查、调</w:t>
      </w:r>
      <w:r>
        <w:rPr>
          <w:rFonts w:hint="default" w:ascii="Times New Roman" w:hAnsi="Times New Roman" w:eastAsia="仿宋_GB2312" w:cs="Times New Roman"/>
          <w:sz w:val="32"/>
        </w:rPr>
        <w:t>查职权，由国务院证券监督管理机构责令改正，处10万元以上100万元以下的罚款；构成违反治安管理行为的，由公安机关依法给予治安管理处</w:t>
      </w:r>
      <w:r>
        <w:rPr>
          <w:rFonts w:hint="eastAsia" w:ascii="仿宋_GB2312" w:hAnsi="仿宋_GB2312" w:eastAsia="仿宋_GB2312" w:cs="仿宋_GB2312"/>
          <w:sz w:val="32"/>
        </w:rPr>
        <w:t>罚；构成犯罪的，依法追究刑事责任。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第五十九条</w:t>
      </w:r>
      <w:r>
        <w:rPr>
          <w:rFonts w:ascii="仿宋_GB2312" w:hAnsi="仿宋_GB2312" w:eastAsia="仿宋_GB2312" w:cs="仿宋_GB2312"/>
          <w:sz w:val="32"/>
        </w:rPr>
        <w:t>　</w:t>
      </w:r>
      <w:r>
        <w:rPr>
          <w:rFonts w:hint="eastAsia" w:ascii="仿宋_GB2312" w:hAnsi="仿宋_GB2312" w:eastAsia="仿宋_GB2312" w:cs="仿宋_GB2312"/>
          <w:sz w:val="32"/>
        </w:rPr>
        <w:t>国务院证券监督管理机构、登记备案机构的工作人员玩忽职守、滥用职权、徇私舞弊或者利用职务便利索取或者收受他人财物的，依法给予处分；构成犯罪的，依法追究刑事责任。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第六十条</w:t>
      </w:r>
      <w:r>
        <w:rPr>
          <w:rFonts w:ascii="仿宋_GB2312" w:hAnsi="仿宋_GB2312" w:eastAsia="仿宋_GB2312" w:cs="仿宋_GB2312"/>
          <w:sz w:val="32"/>
        </w:rPr>
        <w:t>　</w:t>
      </w:r>
      <w:r>
        <w:rPr>
          <w:rFonts w:hint="eastAsia" w:ascii="仿宋_GB2312" w:hAnsi="仿宋_GB2312" w:eastAsia="仿宋_GB2312" w:cs="仿宋_GB2312"/>
          <w:sz w:val="32"/>
        </w:rPr>
        <w:t>违反本条例规定和基金合同约定，依法应当承担民事赔偿责任和缴纳罚款、被没收违法所得，其财产不足以同时支付时，先承担民事赔偿责任。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pPr>
      <w:r>
        <w:rPr>
          <w:rFonts w:ascii="黑体" w:hAnsi="黑体" w:eastAsia="黑体" w:cs="黑体"/>
          <w:sz w:val="32"/>
        </w:rPr>
        <w:t>第</w:t>
      </w:r>
      <w:r>
        <w:rPr>
          <w:rFonts w:hint="eastAsia" w:ascii="黑体" w:hAnsi="黑体" w:eastAsia="黑体" w:cs="黑体"/>
          <w:sz w:val="32"/>
          <w:lang w:val="en-US" w:eastAsia="zh-CN"/>
        </w:rPr>
        <w:t>七</w:t>
      </w:r>
      <w:r>
        <w:rPr>
          <w:rFonts w:ascii="黑体" w:hAnsi="黑体" w:eastAsia="黑体" w:cs="黑体"/>
          <w:sz w:val="32"/>
        </w:rPr>
        <w:t>章　</w:t>
      </w:r>
      <w:r>
        <w:rPr>
          <w:rFonts w:hint="eastAsia" w:ascii="黑体" w:hAnsi="黑体" w:eastAsia="黑体" w:cs="黑体"/>
          <w:sz w:val="32"/>
          <w:lang w:val="en-US" w:eastAsia="zh-CN"/>
        </w:rPr>
        <w:t>附</w:t>
      </w:r>
      <w:r>
        <w:rPr>
          <w:rFonts w:ascii="黑体" w:hAnsi="黑体" w:eastAsia="黑体" w:cs="黑体"/>
          <w:sz w:val="32"/>
        </w:rPr>
        <w:t>　　</w:t>
      </w:r>
      <w:r>
        <w:rPr>
          <w:rFonts w:hint="eastAsia" w:ascii="黑体" w:hAnsi="黑体" w:eastAsia="黑体" w:cs="黑体"/>
          <w:sz w:val="32"/>
          <w:lang w:val="en-US" w:eastAsia="zh-CN"/>
        </w:rPr>
        <w:t>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center"/>
        <w:textAlignment w:val="auto"/>
        <w:rPr>
          <w:rFonts w:hint="eastAsia" w:ascii="宋体" w:hAnsi="宋体" w:eastAsia="宋体" w:cs="宋体"/>
          <w:sz w:val="32"/>
        </w:rPr>
      </w:pP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ascii="黑体" w:hAnsi="黑体" w:eastAsia="黑体" w:cs="黑体"/>
          <w:sz w:val="32"/>
        </w:rPr>
        <w:t>第六十一条</w:t>
      </w:r>
      <w:r>
        <w:rPr>
          <w:rFonts w:ascii="仿宋_GB2312" w:hAnsi="仿宋_GB2312" w:eastAsia="仿宋_GB2312" w:cs="仿宋_GB2312"/>
          <w:sz w:val="32"/>
        </w:rPr>
        <w:t>　</w:t>
      </w:r>
      <w:r>
        <w:rPr>
          <w:rFonts w:hint="eastAsia" w:ascii="仿宋_GB2312" w:hAnsi="仿宋_GB2312" w:eastAsia="仿宋_GB2312" w:cs="仿宋_GB2312"/>
          <w:sz w:val="32"/>
        </w:rPr>
        <w:t>外商投资私募基金管理人的管理办法，由国务院证券监督管理机构会同国务院有关部门依照外商投资法律、行政法规和本</w:t>
      </w:r>
      <w:bookmarkStart w:id="0" w:name="_GoBack"/>
      <w:bookmarkEnd w:id="0"/>
      <w:r>
        <w:rPr>
          <w:rFonts w:hint="eastAsia" w:ascii="仿宋_GB2312" w:hAnsi="仿宋_GB2312" w:eastAsia="仿宋_GB2312" w:cs="仿宋_GB2312"/>
          <w:sz w:val="32"/>
        </w:rPr>
        <w:t>条例制定。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境外机构不得直接向境内投资者募集资金设立私募基金，但国家另有规定的除外。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hint="eastAsia" w:ascii="仿宋_GB2312" w:hAnsi="仿宋_GB2312" w:eastAsia="仿宋_GB2312" w:cs="仿宋_GB2312"/>
          <w:sz w:val="32"/>
        </w:rPr>
        <w:t>私募基金管理人在境外开展私募基金业务活动，应当符合国家有关规定。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黑体" w:hAnsi="黑体" w:eastAsia="黑体" w:cs="黑体"/>
          <w:sz w:val="32"/>
        </w:rPr>
        <w:t>第六十二条</w:t>
      </w:r>
      <w:r>
        <w:rPr>
          <w:rFonts w:ascii="仿宋_GB2312" w:hAnsi="仿宋_GB2312" w:eastAsia="仿宋_GB2312" w:cs="仿宋_GB2312"/>
          <w:sz w:val="32"/>
        </w:rPr>
        <w:t>　</w:t>
      </w:r>
      <w:r>
        <w:rPr>
          <w:rFonts w:hint="eastAsia" w:ascii="仿宋_GB2312" w:hAnsi="仿宋_GB2312" w:eastAsia="仿宋_GB2312" w:cs="仿宋_GB2312"/>
          <w:sz w:val="32"/>
        </w:rPr>
        <w:t>本条例自</w:t>
      </w:r>
      <w:r>
        <w:rPr>
          <w:rFonts w:hint="default" w:ascii="Times New Roman" w:hAnsi="Times New Roman" w:eastAsia="仿宋_GB2312" w:cs="Times New Roman"/>
          <w:sz w:val="32"/>
        </w:rPr>
        <w:t>2023年9月1日</w:t>
      </w:r>
      <w:r>
        <w:rPr>
          <w:rFonts w:hint="eastAsia" w:ascii="仿宋_GB2312" w:hAnsi="仿宋_GB2312" w:eastAsia="仿宋_GB2312" w:cs="仿宋_GB2312"/>
          <w:sz w:val="32"/>
        </w:rPr>
        <w:t>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ˎ̥">
    <w:altName w:val="华光中圆_CNKI"/>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华光中圆_CNKI">
    <w:panose1 w:val="02000500000000000000"/>
    <w:charset w:val="86"/>
    <w:family w:val="auto"/>
    <w:pitch w:val="default"/>
    <w:sig w:usb0="A00002BF" w:usb1="1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BCF320"/>
    <w:multiLevelType w:val="singleLevel"/>
    <w:tmpl w:val="4EBCF320"/>
    <w:lvl w:ilvl="0" w:tentative="0">
      <w:start w:val="6"/>
      <w:numFmt w:val="chineseCounting"/>
      <w:suff w:val="nothing"/>
      <w:lvlText w:val="第%1章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M3MTQ4YzRiMTFhMWY4OTdiMTg1NTc1NDk1MzVhMGEifQ=="/>
  </w:docVars>
  <w:rsids>
    <w:rsidRoot w:val="000E703F"/>
    <w:rsid w:val="00005CBA"/>
    <w:rsid w:val="00067A46"/>
    <w:rsid w:val="000B3473"/>
    <w:rsid w:val="000D062B"/>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B39E9"/>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D9804AC"/>
    <w:rsid w:val="0DF504F8"/>
    <w:rsid w:val="22175B76"/>
    <w:rsid w:val="3D70732F"/>
    <w:rsid w:val="3DE63740"/>
    <w:rsid w:val="481351D2"/>
    <w:rsid w:val="53543565"/>
    <w:rsid w:val="558A062C"/>
    <w:rsid w:val="622F12CF"/>
    <w:rsid w:val="653E08AD"/>
    <w:rsid w:val="7F47D4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10126</Words>
  <Characters>10194</Characters>
  <Lines>1</Lines>
  <Paragraphs>1</Paragraphs>
  <TotalTime>8</TotalTime>
  <ScaleCrop>false</ScaleCrop>
  <LinksUpToDate>false</LinksUpToDate>
  <CharactersWithSpaces>10267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雷</cp:lastModifiedBy>
  <dcterms:modified xsi:type="dcterms:W3CDTF">2023-07-25T06:32:22Z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